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E2" w:rsidRDefault="00D962E2" w:rsidP="00D962E2">
      <w:pPr>
        <w:spacing w:line="480" w:lineRule="auto"/>
        <w:jc w:val="center"/>
      </w:pPr>
      <w:bookmarkStart w:id="0" w:name="_GoBack"/>
      <w:bookmarkEnd w:id="0"/>
    </w:p>
    <w:p w:rsidR="00D962E2" w:rsidRDefault="00D962E2" w:rsidP="00D962E2">
      <w:pPr>
        <w:spacing w:line="480" w:lineRule="auto"/>
        <w:jc w:val="center"/>
      </w:pPr>
    </w:p>
    <w:p w:rsidR="00D962E2" w:rsidRDefault="00D962E2" w:rsidP="00D962E2">
      <w:pPr>
        <w:spacing w:line="480" w:lineRule="auto"/>
        <w:jc w:val="center"/>
      </w:pPr>
    </w:p>
    <w:p w:rsidR="00D962E2" w:rsidRDefault="00D962E2" w:rsidP="00D962E2">
      <w:pPr>
        <w:spacing w:line="480" w:lineRule="auto"/>
        <w:jc w:val="center"/>
      </w:pPr>
    </w:p>
    <w:p w:rsidR="00D962E2" w:rsidRDefault="00D962E2" w:rsidP="00D962E2">
      <w:pPr>
        <w:spacing w:line="480" w:lineRule="auto"/>
        <w:jc w:val="center"/>
      </w:pPr>
    </w:p>
    <w:p w:rsidR="00046A29" w:rsidRDefault="004054C8" w:rsidP="00D962E2">
      <w:pPr>
        <w:spacing w:line="480" w:lineRule="auto"/>
        <w:jc w:val="center"/>
      </w:pPr>
      <w:r w:rsidRPr="00046A29">
        <w:t>Tax research memo</w:t>
      </w:r>
    </w:p>
    <w:p w:rsidR="00046A29" w:rsidRDefault="004054C8" w:rsidP="00D962E2">
      <w:pPr>
        <w:spacing w:line="480" w:lineRule="auto"/>
        <w:jc w:val="center"/>
      </w:pPr>
      <w:r>
        <w:t>Institutional affiliation</w:t>
      </w:r>
    </w:p>
    <w:p w:rsidR="00046A29" w:rsidRDefault="004054C8" w:rsidP="00D962E2">
      <w:pPr>
        <w:spacing w:line="480" w:lineRule="auto"/>
        <w:jc w:val="center"/>
      </w:pPr>
      <w:r>
        <w:t>Name of lecturer</w:t>
      </w:r>
    </w:p>
    <w:p w:rsidR="00046A29" w:rsidRDefault="004054C8" w:rsidP="00D962E2">
      <w:pPr>
        <w:spacing w:line="480" w:lineRule="auto"/>
        <w:jc w:val="center"/>
      </w:pPr>
      <w:r>
        <w:t>Name of student</w:t>
      </w:r>
    </w:p>
    <w:p w:rsidR="00046A29" w:rsidRDefault="004054C8" w:rsidP="00D962E2">
      <w:pPr>
        <w:spacing w:line="480" w:lineRule="auto"/>
        <w:jc w:val="center"/>
      </w:pPr>
      <w:r>
        <w:t xml:space="preserve">Due date </w:t>
      </w:r>
      <w:r>
        <w:br w:type="page"/>
      </w:r>
    </w:p>
    <w:p w:rsidR="00721407" w:rsidRPr="00D962E2" w:rsidRDefault="004054C8" w:rsidP="00D962E2">
      <w:pPr>
        <w:spacing w:line="480" w:lineRule="auto"/>
        <w:jc w:val="center"/>
        <w:rPr>
          <w:b/>
        </w:rPr>
      </w:pPr>
      <w:r w:rsidRPr="00D962E2">
        <w:rPr>
          <w:b/>
        </w:rPr>
        <w:lastRenderedPageBreak/>
        <w:t xml:space="preserve">Tax </w:t>
      </w:r>
      <w:r w:rsidR="0044175B" w:rsidRPr="00D962E2">
        <w:rPr>
          <w:b/>
        </w:rPr>
        <w:t>research memo</w:t>
      </w:r>
    </w:p>
    <w:p w:rsidR="0030522C" w:rsidRPr="00D962E2" w:rsidRDefault="004054C8" w:rsidP="00D962E2">
      <w:pPr>
        <w:spacing w:line="480" w:lineRule="auto"/>
        <w:jc w:val="center"/>
        <w:rPr>
          <w:b/>
        </w:rPr>
      </w:pPr>
      <w:r w:rsidRPr="00D962E2">
        <w:rPr>
          <w:b/>
        </w:rPr>
        <w:t>Facts</w:t>
      </w:r>
    </w:p>
    <w:p w:rsidR="00BE7012" w:rsidRDefault="004054C8" w:rsidP="00D962E2">
      <w:pPr>
        <w:pStyle w:val="ListParagraph"/>
        <w:numPr>
          <w:ilvl w:val="0"/>
          <w:numId w:val="1"/>
        </w:numPr>
        <w:spacing w:line="480" w:lineRule="auto"/>
      </w:pPr>
      <w:r>
        <w:t>Your Texas Band, Inc., is a year calendar corporation</w:t>
      </w:r>
    </w:p>
    <w:p w:rsidR="00BE7012" w:rsidRDefault="004054C8" w:rsidP="00D962E2">
      <w:pPr>
        <w:pStyle w:val="ListParagraph"/>
        <w:numPr>
          <w:ilvl w:val="0"/>
          <w:numId w:val="1"/>
        </w:numPr>
        <w:spacing w:line="480" w:lineRule="auto"/>
      </w:pPr>
      <w:r>
        <w:t xml:space="preserve">The corporation is based in Texas and thus a </w:t>
      </w:r>
      <w:r w:rsidR="00721B68">
        <w:t>Texas</w:t>
      </w:r>
      <w:r>
        <w:t xml:space="preserve"> corporation</w:t>
      </w:r>
    </w:p>
    <w:p w:rsidR="00BE7012" w:rsidRDefault="004054C8" w:rsidP="00D962E2">
      <w:pPr>
        <w:pStyle w:val="ListParagraph"/>
        <w:numPr>
          <w:ilvl w:val="0"/>
          <w:numId w:val="1"/>
        </w:numPr>
        <w:spacing w:line="480" w:lineRule="auto"/>
      </w:pPr>
      <w:r>
        <w:t xml:space="preserve">The band recently </w:t>
      </w:r>
      <w:r>
        <w:t>sold $1,000,000 for the concert to be done next year and the following year.</w:t>
      </w:r>
    </w:p>
    <w:p w:rsidR="00BE7012" w:rsidRDefault="004054C8" w:rsidP="00D962E2">
      <w:pPr>
        <w:pStyle w:val="ListParagraph"/>
        <w:numPr>
          <w:ilvl w:val="0"/>
          <w:numId w:val="1"/>
        </w:numPr>
        <w:spacing w:line="480" w:lineRule="auto"/>
      </w:pPr>
      <w:r>
        <w:t xml:space="preserve">The band will recognize the income from the ticket sales when the concerts are formed. </w:t>
      </w:r>
    </w:p>
    <w:p w:rsidR="00BE7012" w:rsidRDefault="004054C8" w:rsidP="00D962E2">
      <w:pPr>
        <w:pStyle w:val="ListParagraph"/>
        <w:numPr>
          <w:ilvl w:val="0"/>
          <w:numId w:val="1"/>
        </w:numPr>
        <w:spacing w:line="480" w:lineRule="auto"/>
      </w:pPr>
      <w:r>
        <w:t>For income tax purposes, the corporation uses the accrued method.</w:t>
      </w:r>
    </w:p>
    <w:p w:rsidR="00BE7012" w:rsidRDefault="004054C8" w:rsidP="00D962E2">
      <w:pPr>
        <w:pStyle w:val="ListParagraph"/>
        <w:numPr>
          <w:ilvl w:val="0"/>
          <w:numId w:val="1"/>
        </w:numPr>
        <w:spacing w:line="480" w:lineRule="auto"/>
      </w:pPr>
      <w:r>
        <w:t>The band has never sold t</w:t>
      </w:r>
      <w:r>
        <w:t xml:space="preserve">ickets one or two years in advance. </w:t>
      </w:r>
    </w:p>
    <w:p w:rsidR="00BE7012" w:rsidRPr="00D962E2" w:rsidRDefault="004054C8" w:rsidP="00D962E2">
      <w:pPr>
        <w:spacing w:line="480" w:lineRule="auto"/>
        <w:jc w:val="center"/>
        <w:rPr>
          <w:b/>
        </w:rPr>
      </w:pPr>
      <w:r w:rsidRPr="00D962E2">
        <w:rPr>
          <w:b/>
        </w:rPr>
        <w:t>Issue</w:t>
      </w:r>
    </w:p>
    <w:p w:rsidR="009E720F" w:rsidRDefault="004054C8" w:rsidP="00D962E2">
      <w:pPr>
        <w:spacing w:line="480" w:lineRule="auto"/>
      </w:pPr>
      <w:r>
        <w:t>Should the Texas Band include the income from the advance sales of tickets for concerts scheduled in future years?</w:t>
      </w:r>
    </w:p>
    <w:p w:rsidR="00B0322A" w:rsidRPr="00D962E2" w:rsidRDefault="004054C8" w:rsidP="00D962E2">
      <w:pPr>
        <w:spacing w:line="480" w:lineRule="auto"/>
        <w:jc w:val="center"/>
        <w:rPr>
          <w:b/>
        </w:rPr>
      </w:pPr>
      <w:r w:rsidRPr="00D962E2">
        <w:rPr>
          <w:b/>
        </w:rPr>
        <w:t>Conclusion</w:t>
      </w:r>
    </w:p>
    <w:p w:rsidR="005030A4" w:rsidRDefault="004054C8" w:rsidP="00D962E2">
      <w:pPr>
        <w:spacing w:line="480" w:lineRule="auto"/>
      </w:pPr>
      <w:r>
        <w:t>The band has not performed the concerts and thus the revenues earned from the sale of t</w:t>
      </w:r>
      <w:r>
        <w:t xml:space="preserve">ickets are a liability to the band. </w:t>
      </w:r>
    </w:p>
    <w:p w:rsidR="008218CD" w:rsidRDefault="004054C8" w:rsidP="00D962E2">
      <w:pPr>
        <w:spacing w:line="480" w:lineRule="auto"/>
      </w:pPr>
      <w:r>
        <w:t xml:space="preserve">The sales of the concert tickets should be recognized and income recognized after the concerts are performed. </w:t>
      </w:r>
    </w:p>
    <w:p w:rsidR="008218CD" w:rsidRDefault="004054C8" w:rsidP="00D962E2">
      <w:pPr>
        <w:spacing w:line="480" w:lineRule="auto"/>
      </w:pPr>
      <w:r>
        <w:t xml:space="preserve">The ticket sale income will therefore be recognized in the year of the performance and not the year of sale </w:t>
      </w:r>
      <w:r>
        <w:t xml:space="preserve">of the tickets. </w:t>
      </w:r>
    </w:p>
    <w:p w:rsidR="00D962E2" w:rsidRDefault="004054C8">
      <w:pPr>
        <w:rPr>
          <w:b/>
        </w:rPr>
      </w:pPr>
      <w:r>
        <w:rPr>
          <w:b/>
        </w:rPr>
        <w:br w:type="page"/>
      </w:r>
    </w:p>
    <w:p w:rsidR="00D14062" w:rsidRPr="00D962E2" w:rsidRDefault="004054C8" w:rsidP="00D962E2">
      <w:pPr>
        <w:spacing w:line="480" w:lineRule="auto"/>
        <w:jc w:val="center"/>
        <w:rPr>
          <w:b/>
        </w:rPr>
      </w:pPr>
      <w:r w:rsidRPr="00D962E2">
        <w:rPr>
          <w:b/>
        </w:rPr>
        <w:t>Analysis</w:t>
      </w:r>
    </w:p>
    <w:p w:rsidR="00D14062" w:rsidRDefault="004054C8" w:rsidP="00D962E2">
      <w:pPr>
        <w:spacing w:line="480" w:lineRule="auto"/>
        <w:ind w:firstLine="720"/>
      </w:pPr>
      <w:r>
        <w:t xml:space="preserve">The calculation of income in prepaid services recognizes incomes in the year of receipt. However, IRC </w:t>
      </w:r>
      <w:r w:rsidRPr="00021B65">
        <w:t>sections 451 and 446</w:t>
      </w:r>
      <w:r>
        <w:t xml:space="preserve"> allows for the calculation of income and tax using the accounting formulae used by the company. The formulae should be consistent for it to be applied</w:t>
      </w:r>
      <w:r>
        <w:rPr>
          <w:rStyle w:val="FootnoteReference"/>
        </w:rPr>
        <w:footnoteReference w:id="1"/>
      </w:r>
      <w:r>
        <w:t>. Texas band uses the accrued method to calculate its income; the same will be applied while calculating</w:t>
      </w:r>
      <w:r>
        <w:t xml:space="preserve"> taxes. As such, the income can only be </w:t>
      </w:r>
      <w:r w:rsidR="000B5201">
        <w:t xml:space="preserve">recognized when the concerts are performed but not the year the incomes are paid. </w:t>
      </w:r>
    </w:p>
    <w:p w:rsidR="00DA04E9" w:rsidRDefault="004054C8" w:rsidP="00D962E2">
      <w:pPr>
        <w:spacing w:line="480" w:lineRule="auto"/>
        <w:ind w:firstLine="720"/>
      </w:pPr>
      <w:r>
        <w:t>The key factor of determining the time of recognizing income is that the taxpayer understands the exact time when the performance wil</w:t>
      </w:r>
      <w:r>
        <w:t xml:space="preserve">l be done and thus the income can be deferred by a year for prepaid services (Artnell Co. and Tampa Bay Devil Rays Ltd.). </w:t>
      </w:r>
      <w:r w:rsidR="00DE41DE">
        <w:t xml:space="preserve"> Also, there is a judicial authority that indicates the deferring of the incomes until the performance is done reflects income in the appropriate setting.</w:t>
      </w:r>
      <w:r w:rsidR="004B58F0">
        <w:t xml:space="preserve"> Texas band should therefore only use the income upon the performance of the concerts is done to reflect the actual income. </w:t>
      </w:r>
    </w:p>
    <w:p w:rsidR="009E720F" w:rsidRDefault="009E720F" w:rsidP="00D962E2">
      <w:pPr>
        <w:spacing w:line="480" w:lineRule="auto"/>
      </w:pPr>
    </w:p>
    <w:sectPr w:rsidR="009E72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4C8" w:rsidRDefault="004054C8">
      <w:pPr>
        <w:spacing w:after="0"/>
      </w:pPr>
      <w:r>
        <w:separator/>
      </w:r>
    </w:p>
  </w:endnote>
  <w:endnote w:type="continuationSeparator" w:id="0">
    <w:p w:rsidR="004054C8" w:rsidRDefault="004054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4C8" w:rsidRDefault="004054C8" w:rsidP="004B58F0">
      <w:pPr>
        <w:spacing w:after="0"/>
      </w:pPr>
      <w:r>
        <w:separator/>
      </w:r>
    </w:p>
  </w:footnote>
  <w:footnote w:type="continuationSeparator" w:id="0">
    <w:p w:rsidR="004054C8" w:rsidRDefault="004054C8" w:rsidP="004B58F0">
      <w:pPr>
        <w:spacing w:after="0"/>
      </w:pPr>
      <w:r>
        <w:continuationSeparator/>
      </w:r>
    </w:p>
  </w:footnote>
  <w:footnote w:id="1">
    <w:p w:rsidR="004B58F0" w:rsidRDefault="004054C8">
      <w:pPr>
        <w:pStyle w:val="FootnoteText"/>
      </w:pPr>
      <w:r>
        <w:rPr>
          <w:rStyle w:val="FootnoteReference"/>
        </w:rPr>
        <w:footnoteRef/>
      </w:r>
      <w:r>
        <w:t xml:space="preserve">Refer to </w:t>
      </w:r>
      <w:r w:rsidRPr="004B58F0">
        <w:t>IRC section 451 and 446</w:t>
      </w:r>
    </w:p>
    <w:p w:rsidR="003C1233" w:rsidRDefault="004054C8">
      <w:pPr>
        <w:pStyle w:val="FootnoteText"/>
      </w:pPr>
      <w:r>
        <w:t>Artnell Co. v. Comm. (7Cir., 1968), 68-2 USTC par. 9593, rev'g and rem'g 48 to 411 (1967).</w:t>
      </w:r>
    </w:p>
    <w:p w:rsidR="003C1233" w:rsidRDefault="004054C8">
      <w:pPr>
        <w:pStyle w:val="FootnoteText"/>
      </w:pPr>
      <w:r>
        <w:t xml:space="preserve">Tampa Bay Devil Ray, Ltd., 84 TCM 394 (2002). </w:t>
      </w:r>
    </w:p>
    <w:p w:rsidR="00C412B7" w:rsidRDefault="004054C8">
      <w:pPr>
        <w:pStyle w:val="FootnoteText"/>
      </w:pPr>
      <w:r>
        <w:t>Rev. Proc. 2004-34, 2004-1 CB 991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042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62E2" w:rsidRDefault="004054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62E2" w:rsidRDefault="00D962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41A93"/>
    <w:multiLevelType w:val="hybridMultilevel"/>
    <w:tmpl w:val="F4E82514"/>
    <w:lvl w:ilvl="0" w:tplc="8600372C">
      <w:start w:val="1"/>
      <w:numFmt w:val="decimal"/>
      <w:lvlText w:val="%1."/>
      <w:lvlJc w:val="left"/>
      <w:pPr>
        <w:ind w:left="720" w:hanging="360"/>
      </w:pPr>
    </w:lvl>
    <w:lvl w:ilvl="1" w:tplc="FF28388C" w:tentative="1">
      <w:start w:val="1"/>
      <w:numFmt w:val="lowerLetter"/>
      <w:lvlText w:val="%2."/>
      <w:lvlJc w:val="left"/>
      <w:pPr>
        <w:ind w:left="1440" w:hanging="360"/>
      </w:pPr>
    </w:lvl>
    <w:lvl w:ilvl="2" w:tplc="A170D904" w:tentative="1">
      <w:start w:val="1"/>
      <w:numFmt w:val="lowerRoman"/>
      <w:lvlText w:val="%3."/>
      <w:lvlJc w:val="right"/>
      <w:pPr>
        <w:ind w:left="2160" w:hanging="180"/>
      </w:pPr>
    </w:lvl>
    <w:lvl w:ilvl="3" w:tplc="02548C76" w:tentative="1">
      <w:start w:val="1"/>
      <w:numFmt w:val="decimal"/>
      <w:lvlText w:val="%4."/>
      <w:lvlJc w:val="left"/>
      <w:pPr>
        <w:ind w:left="2880" w:hanging="360"/>
      </w:pPr>
    </w:lvl>
    <w:lvl w:ilvl="4" w:tplc="294A6956" w:tentative="1">
      <w:start w:val="1"/>
      <w:numFmt w:val="lowerLetter"/>
      <w:lvlText w:val="%5."/>
      <w:lvlJc w:val="left"/>
      <w:pPr>
        <w:ind w:left="3600" w:hanging="360"/>
      </w:pPr>
    </w:lvl>
    <w:lvl w:ilvl="5" w:tplc="A3C2BB62" w:tentative="1">
      <w:start w:val="1"/>
      <w:numFmt w:val="lowerRoman"/>
      <w:lvlText w:val="%6."/>
      <w:lvlJc w:val="right"/>
      <w:pPr>
        <w:ind w:left="4320" w:hanging="180"/>
      </w:pPr>
    </w:lvl>
    <w:lvl w:ilvl="6" w:tplc="3DFA05E8" w:tentative="1">
      <w:start w:val="1"/>
      <w:numFmt w:val="decimal"/>
      <w:lvlText w:val="%7."/>
      <w:lvlJc w:val="left"/>
      <w:pPr>
        <w:ind w:left="5040" w:hanging="360"/>
      </w:pPr>
    </w:lvl>
    <w:lvl w:ilvl="7" w:tplc="04A6CE66" w:tentative="1">
      <w:start w:val="1"/>
      <w:numFmt w:val="lowerLetter"/>
      <w:lvlText w:val="%8."/>
      <w:lvlJc w:val="left"/>
      <w:pPr>
        <w:ind w:left="5760" w:hanging="360"/>
      </w:pPr>
    </w:lvl>
    <w:lvl w:ilvl="8" w:tplc="B7EED0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2C"/>
    <w:rsid w:val="00021B65"/>
    <w:rsid w:val="00046A29"/>
    <w:rsid w:val="000B5201"/>
    <w:rsid w:val="001E2FBB"/>
    <w:rsid w:val="00231CD6"/>
    <w:rsid w:val="00270967"/>
    <w:rsid w:val="002716A2"/>
    <w:rsid w:val="0030522C"/>
    <w:rsid w:val="003C1233"/>
    <w:rsid w:val="004054C8"/>
    <w:rsid w:val="0044175B"/>
    <w:rsid w:val="004B58F0"/>
    <w:rsid w:val="005030A4"/>
    <w:rsid w:val="006A1B3B"/>
    <w:rsid w:val="00721407"/>
    <w:rsid w:val="00721B68"/>
    <w:rsid w:val="00775954"/>
    <w:rsid w:val="008218CD"/>
    <w:rsid w:val="009E720F"/>
    <w:rsid w:val="00A854CB"/>
    <w:rsid w:val="00B0322A"/>
    <w:rsid w:val="00BE7012"/>
    <w:rsid w:val="00C412B7"/>
    <w:rsid w:val="00D14062"/>
    <w:rsid w:val="00D962E2"/>
    <w:rsid w:val="00DA04E9"/>
    <w:rsid w:val="00DE41DE"/>
    <w:rsid w:val="00E75337"/>
    <w:rsid w:val="00F9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B6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B58F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8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8F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62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62E2"/>
  </w:style>
  <w:style w:type="paragraph" w:styleId="Footer">
    <w:name w:val="footer"/>
    <w:basedOn w:val="Normal"/>
    <w:link w:val="FooterChar"/>
    <w:uiPriority w:val="99"/>
    <w:unhideWhenUsed/>
    <w:rsid w:val="00D962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6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B6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B58F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8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8F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62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62E2"/>
  </w:style>
  <w:style w:type="paragraph" w:styleId="Footer">
    <w:name w:val="footer"/>
    <w:basedOn w:val="Normal"/>
    <w:link w:val="FooterChar"/>
    <w:uiPriority w:val="99"/>
    <w:unhideWhenUsed/>
    <w:rsid w:val="00D962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37D57F6-22F5-4858-A578-389A842B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2021-06-11T11:55:00Z</dcterms:created>
  <dcterms:modified xsi:type="dcterms:W3CDTF">2021-06-11T11:55:00Z</dcterms:modified>
</cp:coreProperties>
</file>